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15" w:rsidRDefault="00B9171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91715" w:rsidRDefault="00B91715">
      <w:pPr>
        <w:widowControl w:val="0"/>
        <w:autoSpaceDE w:val="0"/>
        <w:autoSpaceDN w:val="0"/>
        <w:adjustRightInd w:val="0"/>
        <w:spacing w:after="0" w:line="240" w:lineRule="auto"/>
        <w:jc w:val="both"/>
        <w:outlineLvl w:val="0"/>
        <w:rPr>
          <w:rFonts w:ascii="Calibri" w:hAnsi="Calibri" w:cs="Calibri"/>
        </w:rPr>
      </w:pPr>
    </w:p>
    <w:p w:rsidR="00B91715" w:rsidRDefault="00B9171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91715" w:rsidRDefault="00B91715">
      <w:pPr>
        <w:widowControl w:val="0"/>
        <w:autoSpaceDE w:val="0"/>
        <w:autoSpaceDN w:val="0"/>
        <w:adjustRightInd w:val="0"/>
        <w:spacing w:after="0" w:line="240" w:lineRule="auto"/>
        <w:jc w:val="center"/>
        <w:rPr>
          <w:rFonts w:ascii="Calibri" w:hAnsi="Calibri" w:cs="Calibri"/>
          <w:b/>
          <w:bCs/>
        </w:rPr>
      </w:pPr>
    </w:p>
    <w:p w:rsidR="00B91715" w:rsidRDefault="00B917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91715" w:rsidRDefault="00B917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декабря 2014 г. N 1285</w:t>
      </w:r>
    </w:p>
    <w:p w:rsidR="00B91715" w:rsidRDefault="00B91715">
      <w:pPr>
        <w:widowControl w:val="0"/>
        <w:autoSpaceDE w:val="0"/>
        <w:autoSpaceDN w:val="0"/>
        <w:adjustRightInd w:val="0"/>
        <w:spacing w:after="0" w:line="240" w:lineRule="auto"/>
        <w:jc w:val="center"/>
        <w:rPr>
          <w:rFonts w:ascii="Calibri" w:hAnsi="Calibri" w:cs="Calibri"/>
          <w:b/>
          <w:bCs/>
        </w:rPr>
      </w:pPr>
    </w:p>
    <w:p w:rsidR="00B91715" w:rsidRDefault="00B917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РАСЧЕТЕ</w:t>
      </w:r>
    </w:p>
    <w:p w:rsidR="00B91715" w:rsidRDefault="00B917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ПОДУШЕВЫХ НОРМАТИВОВ ФИНАНСИРОВАНИЯ СОЦИАЛЬНЫХ УСЛУГ</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2 части 1 статьи 7</w:t>
        </w:r>
      </w:hyperlink>
      <w:r>
        <w:rPr>
          <w:rFonts w:ascii="Calibri" w:hAnsi="Calibri" w:cs="Calibri"/>
        </w:rPr>
        <w:t xml:space="preserve"> Федерального закона "Об основах социального обслуживания граждан в Российской Федерации" Правительство Российской Федерации постановляет:</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28" w:history="1">
        <w:r>
          <w:rPr>
            <w:rFonts w:ascii="Calibri" w:hAnsi="Calibri" w:cs="Calibri"/>
            <w:color w:val="0000FF"/>
          </w:rPr>
          <w:t>рекомендации</w:t>
        </w:r>
      </w:hyperlink>
      <w:r>
        <w:rPr>
          <w:rFonts w:ascii="Calibri" w:hAnsi="Calibri" w:cs="Calibri"/>
        </w:rPr>
        <w:t xml:space="preserve"> по расчету подушевых нормативов финансирования социальных услуг.</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подушевые нормативы финансирования социальных услуг могут использоваться для определения объема финансирования расходов на предоставление социальных услуг в различных формах социального обслуживания при формировании бюджета субъекта Российской Федерации, а также для определения размера компенсации, выплачиваемой поставщикам социальных услуг, указанным в </w:t>
      </w:r>
      <w:hyperlink r:id="rId6" w:history="1">
        <w:r>
          <w:rPr>
            <w:rFonts w:ascii="Calibri" w:hAnsi="Calibri" w:cs="Calibri"/>
            <w:color w:val="0000FF"/>
          </w:rPr>
          <w:t>части 8 статьи 30</w:t>
        </w:r>
      </w:hyperlink>
      <w:r>
        <w:rPr>
          <w:rFonts w:ascii="Calibri" w:hAnsi="Calibri" w:cs="Calibri"/>
        </w:rPr>
        <w:t xml:space="preserve"> Федерального закона "Об основах социального обслуживания граждан в Российской Федерации".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труда и социальной защиты Российской Федерации совместно с Министерством финансов Российской Федерации давать разъяснения по применению методических </w:t>
      </w:r>
      <w:hyperlink w:anchor="Par28" w:history="1">
        <w:r>
          <w:rPr>
            <w:rFonts w:ascii="Calibri" w:hAnsi="Calibri" w:cs="Calibri"/>
            <w:color w:val="0000FF"/>
          </w:rPr>
          <w:t>рекомендаций</w:t>
        </w:r>
      </w:hyperlink>
      <w:r>
        <w:rPr>
          <w:rFonts w:ascii="Calibri" w:hAnsi="Calibri" w:cs="Calibri"/>
        </w:rPr>
        <w:t>, утвержденных настоящим постановлением.</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с 1 января 2015 г.</w:t>
      </w: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91715" w:rsidRDefault="00B9171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1715" w:rsidRDefault="00B9171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B91715" w:rsidRDefault="00B9171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91715" w:rsidRDefault="00B9171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1715" w:rsidRDefault="00B91715">
      <w:pPr>
        <w:widowControl w:val="0"/>
        <w:autoSpaceDE w:val="0"/>
        <w:autoSpaceDN w:val="0"/>
        <w:adjustRightInd w:val="0"/>
        <w:spacing w:after="0" w:line="240" w:lineRule="auto"/>
        <w:jc w:val="right"/>
        <w:rPr>
          <w:rFonts w:ascii="Calibri" w:hAnsi="Calibri" w:cs="Calibri"/>
        </w:rPr>
      </w:pPr>
      <w:r>
        <w:rPr>
          <w:rFonts w:ascii="Calibri" w:hAnsi="Calibri" w:cs="Calibri"/>
        </w:rPr>
        <w:t>от 1 декабря 2014 г. N 1285</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МЕТОДИЧЕСКИЕ РЕКОМЕНДАЦИИ</w:t>
      </w:r>
    </w:p>
    <w:p w:rsidR="00B91715" w:rsidRDefault="00B917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ПОДУШЕВЫХ НОРМАТИВОВ ФИНАНСИРОВАНИЯ</w:t>
      </w:r>
    </w:p>
    <w:p w:rsidR="00B91715" w:rsidRDefault="00B917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УСЛУГ</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разработан в целях содействия субъектам Российской Федерации в определении методологического подхода к установлению подушевых нормативов финансирования социальных услуг (далее - подушевые нормативы финансирования).</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Подушевые нормативы финансирования устанавливаются в расчете на одного получателя социальных услуг, включенных в перечень социальных услуг, предоставляемых поставщиками социальных услуг, утвержденный законом субъекта Российской Федерации.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Подушевые нормативы финансирования могут устанавливаться субъектами Российской Федерации дифференцированно для городской и сельской местности в зависимости от форм социального обслуживания.</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Подушевые нормативы финансирования определяются исходя из прямых и косвенных </w:t>
      </w:r>
      <w:r>
        <w:rPr>
          <w:rFonts w:ascii="Calibri" w:hAnsi="Calibri" w:cs="Calibri"/>
        </w:rPr>
        <w:lastRenderedPageBreak/>
        <w:t>расходов на предоставление социальных услуг за период (не менее одного года), предшествующий расчетному, с применением индекса роста цен (тарифов) на соответствующие товары и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bookmarkStart w:id="3" w:name="Par36"/>
      <w:bookmarkEnd w:id="3"/>
      <w:r>
        <w:rPr>
          <w:rFonts w:ascii="Calibri" w:hAnsi="Calibri" w:cs="Calibri"/>
        </w:rPr>
        <w:t>5. К прямым расходам на предоставление социальных услуг относятся зависящие от численности получателей социальных услуг расходы, непосредственно связанные с предоставлением социальной услуги ее получателю, которые включают:</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на оплату труда и начисления на выплаты по оплате труда персонала, предоставляющего социальную услугу;</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общехозяйственные расходы, непосредственно связанные с предоставлением социальной услуги ее получателю (расходы на оказание услуг связи, коммунальных и транспортных услуг, материальные затраты и др.);</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прочие расходы, непосредственно связанные с предоставлением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косвенным расходам на предоставление социальных услуг относятся необходимые для предоставления социальной услуги расходы, которые нельзя учесть в себестоимости социальных услуг методом прямого счета (поскольку они не зависят от численности получателей социальных услуг) и которые включают:</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на оплату труда и начисления на выплаты по оплате труда управленческого персонала;</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общехозяйственные расходы, необходимые для обеспечения собственных нужд поставщика социальных услуг.</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Подушевой норматив финансирования i-й социальной услуги (</w:t>
      </w:r>
      <w:r w:rsidR="001B39C6">
        <w:rPr>
          <w:rFonts w:ascii="Calibri" w:hAnsi="Calibri" w:cs="Calibri"/>
          <w:noProof/>
          <w:position w:val="-14"/>
          <w:lang w:eastAsia="ru-RU"/>
        </w:rPr>
        <w:drawing>
          <wp:inline distT="0" distB="0" distL="0" distR="0">
            <wp:extent cx="409575" cy="276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276225"/>
                    </a:xfrm>
                    <a:prstGeom prst="rect">
                      <a:avLst/>
                    </a:prstGeom>
                    <a:noFill/>
                    <a:ln w="9525">
                      <a:noFill/>
                      <a:miter lim="800000"/>
                      <a:headEnd/>
                      <a:tailEnd/>
                    </a:ln>
                  </pic:spPr>
                </pic:pic>
              </a:graphicData>
            </a:graphic>
          </wp:inline>
        </w:drawing>
      </w:r>
      <w:r>
        <w:rPr>
          <w:rFonts w:ascii="Calibri" w:hAnsi="Calibri" w:cs="Calibri"/>
        </w:rPr>
        <w:t>) рассчитывается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1343025" cy="276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43025"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276225" cy="276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B91715">
        <w:rPr>
          <w:rFonts w:ascii="Calibri" w:hAnsi="Calibri" w:cs="Calibri"/>
        </w:rPr>
        <w:t xml:space="preserve"> - величина прямых расходов на предоставление i-й социальной услуги;</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352425" cy="2476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00B91715">
        <w:rPr>
          <w:rFonts w:ascii="Calibri" w:hAnsi="Calibri" w:cs="Calibri"/>
        </w:rPr>
        <w:t xml:space="preserve"> - величина косвенных расходов на предоставление i-й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Величина прямых расходов на предоставление i-й социальной услуги (</w:t>
      </w:r>
      <w:r w:rsidR="001B39C6">
        <w:rPr>
          <w:rFonts w:ascii="Calibri" w:hAnsi="Calibri" w:cs="Calibri"/>
          <w:noProof/>
          <w:position w:val="-14"/>
          <w:lang w:eastAsia="ru-RU"/>
        </w:rPr>
        <w:drawing>
          <wp:inline distT="0" distB="0" distL="0" distR="0">
            <wp:extent cx="276225" cy="276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Calibri" w:hAnsi="Calibri" w:cs="Calibri"/>
        </w:rPr>
        <w:t xml:space="preserve">) рассчитывается исходя из величины (в среднем по субъекту Российской Федерации) указанных в </w:t>
      </w:r>
      <w:hyperlink w:anchor="Par36" w:history="1">
        <w:r>
          <w:rPr>
            <w:rFonts w:ascii="Calibri" w:hAnsi="Calibri" w:cs="Calibri"/>
            <w:color w:val="0000FF"/>
          </w:rPr>
          <w:t>пункте 5</w:t>
        </w:r>
      </w:hyperlink>
      <w:r>
        <w:rPr>
          <w:rFonts w:ascii="Calibri" w:hAnsi="Calibri" w:cs="Calibri"/>
        </w:rPr>
        <w:t xml:space="preserve"> настоящего документа расходов государственных организаций социального обслуживания на предоставление i-й социальной услуги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2171700" cy="2762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171700"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276225" cy="2476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оплату труда персонала, предоставляющего i-ю социальную услугу,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190500" cy="2476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00B91715">
        <w:rPr>
          <w:rFonts w:ascii="Calibri" w:hAnsi="Calibri" w:cs="Calibri"/>
        </w:rPr>
        <w:t xml:space="preserve"> - начисления на выплаты по оплате труда персонала, предоставляющего i-ю социальную услугу, устанавливаемые в процентах от расходов на оплату труда в соответствии с законодательством Российской Федерации;</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466725" cy="2762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66725" cy="276225"/>
                    </a:xfrm>
                    <a:prstGeom prst="rect">
                      <a:avLst/>
                    </a:prstGeom>
                    <a:noFill/>
                    <a:ln w="9525">
                      <a:noFill/>
                      <a:miter lim="800000"/>
                      <a:headEnd/>
                      <a:tailEnd/>
                    </a:ln>
                  </pic:spPr>
                </pic:pic>
              </a:graphicData>
            </a:graphic>
          </wp:inline>
        </w:drawing>
      </w:r>
      <w:r w:rsidR="00B91715">
        <w:rPr>
          <w:rFonts w:ascii="Calibri" w:hAnsi="Calibri" w:cs="Calibri"/>
        </w:rPr>
        <w:t xml:space="preserve"> - прямые общехозяйственные расходы, непосредственно связанные с предоставлением i-й социальной услуги;</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333375" cy="2762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B91715">
        <w:rPr>
          <w:rFonts w:ascii="Calibri" w:hAnsi="Calibri" w:cs="Calibri"/>
        </w:rPr>
        <w:t xml:space="preserve"> - прочие расходы, непосредственно связанные с предоставлением i-й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Величина косвенных расходов на предоставление i-й социальной услуги (</w:t>
      </w:r>
      <w:r w:rsidR="001B39C6">
        <w:rPr>
          <w:rFonts w:ascii="Calibri" w:hAnsi="Calibri" w:cs="Calibri"/>
          <w:noProof/>
          <w:position w:val="-12"/>
          <w:lang w:eastAsia="ru-RU"/>
        </w:rPr>
        <w:drawing>
          <wp:inline distT="0" distB="0" distL="0" distR="0">
            <wp:extent cx="352425" cy="2476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52425" cy="247650"/>
                    </a:xfrm>
                    <a:prstGeom prst="rect">
                      <a:avLst/>
                    </a:prstGeom>
                    <a:noFill/>
                    <a:ln w="9525">
                      <a:noFill/>
                      <a:miter lim="800000"/>
                      <a:headEnd/>
                      <a:tailEnd/>
                    </a:ln>
                  </pic:spPr>
                </pic:pic>
              </a:graphicData>
            </a:graphic>
          </wp:inline>
        </w:drawing>
      </w:r>
      <w:r>
        <w:rPr>
          <w:rFonts w:ascii="Calibri" w:hAnsi="Calibri" w:cs="Calibri"/>
        </w:rPr>
        <w:t>) рассчитывается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1343025" cy="2762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343025"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333375" cy="2476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00B91715">
        <w:rPr>
          <w:rFonts w:ascii="Calibri" w:hAnsi="Calibri" w:cs="Calibri"/>
        </w:rPr>
        <w:t xml:space="preserve"> - величина косвенных расходов, включаемых в себестоимость социальных услуг, которые нельзя учесть методом прямого счета;</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276225" cy="2762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B91715">
        <w:rPr>
          <w:rFonts w:ascii="Calibri" w:hAnsi="Calibri" w:cs="Calibri"/>
        </w:rPr>
        <w:t xml:space="preserve"> - коэффициент косвенных расходов, включаемых в себестоимость i-й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Величина косвенных расходов, включаемых в себестоимость социальных услуг (</w:t>
      </w:r>
      <w:r w:rsidR="001B39C6">
        <w:rPr>
          <w:rFonts w:ascii="Calibri" w:hAnsi="Calibri" w:cs="Calibri"/>
          <w:noProof/>
          <w:position w:val="-12"/>
          <w:lang w:eastAsia="ru-RU"/>
        </w:rPr>
        <w:drawing>
          <wp:inline distT="0" distB="0" distL="0" distR="0">
            <wp:extent cx="333375" cy="2476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Pr>
          <w:rFonts w:ascii="Calibri" w:hAnsi="Calibri" w:cs="Calibri"/>
        </w:rPr>
        <w:t>), рассчитывается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1866900" cy="2762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866900"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304800" cy="2762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оплату труда управленческого персонала,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219075" cy="2762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91715">
        <w:rPr>
          <w:rFonts w:ascii="Calibri" w:hAnsi="Calibri" w:cs="Calibri"/>
        </w:rPr>
        <w:t xml:space="preserve"> - начисления на выплаты по оплате труда управленческого персонала, устанавливаемые в процентах от расходов на оплату труда в соответствии с законодательством Российской Федерации;</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523875" cy="2762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523875" cy="276225"/>
                    </a:xfrm>
                    <a:prstGeom prst="rect">
                      <a:avLst/>
                    </a:prstGeom>
                    <a:noFill/>
                    <a:ln w="9525">
                      <a:noFill/>
                      <a:miter lim="800000"/>
                      <a:headEnd/>
                      <a:tailEnd/>
                    </a:ln>
                  </pic:spPr>
                </pic:pic>
              </a:graphicData>
            </a:graphic>
          </wp:inline>
        </w:drawing>
      </w:r>
      <w:r w:rsidR="00B91715">
        <w:rPr>
          <w:rFonts w:ascii="Calibri" w:hAnsi="Calibri" w:cs="Calibri"/>
        </w:rPr>
        <w:t xml:space="preserve"> - косвенные общехозяйственные расходы, включающие расходы на оплату работ (услуг), необходимых для обеспечения собственных нужд поставщика социальных услуг.</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Коэффициент косвенных расходов, включаемых в себестоимость i-й социальной услуги (</w:t>
      </w:r>
      <w:r w:rsidR="001B39C6">
        <w:rPr>
          <w:rFonts w:ascii="Calibri" w:hAnsi="Calibri" w:cs="Calibri"/>
          <w:noProof/>
          <w:position w:val="-14"/>
          <w:lang w:eastAsia="ru-RU"/>
        </w:rPr>
        <w:drawing>
          <wp:inline distT="0" distB="0" distL="0" distR="0">
            <wp:extent cx="276225" cy="2762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Calibri" w:hAnsi="Calibri" w:cs="Calibri"/>
        </w:rPr>
        <w:t>), рассчитывается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1343025" cy="2762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1343025"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1B39C6">
        <w:rPr>
          <w:rFonts w:ascii="Calibri" w:hAnsi="Calibri" w:cs="Calibri"/>
          <w:noProof/>
          <w:position w:val="-14"/>
          <w:lang w:eastAsia="ru-RU"/>
        </w:rPr>
        <w:drawing>
          <wp:inline distT="0" distB="0" distL="0" distR="0">
            <wp:extent cx="276225" cy="27622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Calibri" w:hAnsi="Calibri" w:cs="Calibri"/>
        </w:rPr>
        <w:t xml:space="preserve"> - величина прямых расходов на предоставление i-й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Величина прямых общехозяйственных расходов, непосредственно связанных с предоставлением i-й социальной услуги (</w:t>
      </w:r>
      <w:r w:rsidR="001B39C6">
        <w:rPr>
          <w:rFonts w:ascii="Calibri" w:hAnsi="Calibri" w:cs="Calibri"/>
          <w:noProof/>
          <w:position w:val="-14"/>
          <w:lang w:eastAsia="ru-RU"/>
        </w:rPr>
        <w:drawing>
          <wp:inline distT="0" distB="0" distL="0" distR="0">
            <wp:extent cx="466725" cy="2762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466725" cy="276225"/>
                    </a:xfrm>
                    <a:prstGeom prst="rect">
                      <a:avLst/>
                    </a:prstGeom>
                    <a:noFill/>
                    <a:ln w="9525">
                      <a:noFill/>
                      <a:miter lim="800000"/>
                      <a:headEnd/>
                      <a:tailEnd/>
                    </a:ln>
                  </pic:spPr>
                </pic:pic>
              </a:graphicData>
            </a:graphic>
          </wp:inline>
        </w:drawing>
      </w:r>
      <w:r>
        <w:rPr>
          <w:rFonts w:ascii="Calibri" w:hAnsi="Calibri" w:cs="Calibri"/>
        </w:rPr>
        <w:t>), рассчитывается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1371600" cy="2762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1371600"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352425" cy="24765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00B91715">
        <w:rPr>
          <w:rFonts w:ascii="Calibri" w:hAnsi="Calibri" w:cs="Calibri"/>
        </w:rPr>
        <w:t xml:space="preserve"> - общехозяйственные расходы;</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190500" cy="2476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00B91715">
        <w:rPr>
          <w:rFonts w:ascii="Calibri" w:hAnsi="Calibri" w:cs="Calibri"/>
        </w:rPr>
        <w:t xml:space="preserve"> - коэффициент отнесения общехозяйственных расходов к прямым расходам, непосредственно связанным с предоставлением i-й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Общехозяйственные расходы (</w:t>
      </w:r>
      <w:r w:rsidR="001B39C6">
        <w:rPr>
          <w:rFonts w:ascii="Calibri" w:hAnsi="Calibri" w:cs="Calibri"/>
          <w:noProof/>
          <w:position w:val="-14"/>
          <w:lang w:eastAsia="ru-RU"/>
        </w:rPr>
        <w:drawing>
          <wp:inline distT="0" distB="0" distL="0" distR="0">
            <wp:extent cx="352425" cy="2476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srcRect/>
                    <a:stretch>
                      <a:fillRect/>
                    </a:stretch>
                  </pic:blipFill>
                  <pic:spPr bwMode="auto">
                    <a:xfrm>
                      <a:off x="0" y="0"/>
                      <a:ext cx="352425" cy="247650"/>
                    </a:xfrm>
                    <a:prstGeom prst="rect">
                      <a:avLst/>
                    </a:prstGeom>
                    <a:noFill/>
                    <a:ln w="9525">
                      <a:noFill/>
                      <a:miter lim="800000"/>
                      <a:headEnd/>
                      <a:tailEnd/>
                    </a:ln>
                  </pic:spPr>
                </pic:pic>
              </a:graphicData>
            </a:graphic>
          </wp:inline>
        </w:drawing>
      </w:r>
      <w:r>
        <w:rPr>
          <w:rFonts w:ascii="Calibri" w:hAnsi="Calibri" w:cs="Calibri"/>
        </w:rPr>
        <w:t>) включают расходы на оказание услуг связи, коммунальных и транспортных услуг, а также материальные затраты и прочие расходы и рассчитываются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2085975" cy="2762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2085975"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lastRenderedPageBreak/>
        <w:drawing>
          <wp:inline distT="0" distB="0" distL="0" distR="0">
            <wp:extent cx="161925" cy="24765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161925" cy="247650"/>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оказание услуг связи;</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161925" cy="24765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161925" cy="247650"/>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оказание коммунальных услуг;</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190500" cy="2476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00B91715">
        <w:rPr>
          <w:rFonts w:ascii="Calibri" w:hAnsi="Calibri" w:cs="Calibri"/>
        </w:rPr>
        <w:t xml:space="preserve"> - материальные затраты;</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161925" cy="2476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161925" cy="247650"/>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оказание транспортных услуг;</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219075" cy="2762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00B91715">
        <w:rPr>
          <w:rFonts w:ascii="Calibri" w:hAnsi="Calibri" w:cs="Calibri"/>
        </w:rPr>
        <w:t xml:space="preserve"> - прочие расходы.</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Коэффициент отнесения общехозяйственных расходов к прямым расходам, непосредственно связанным с предоставлением i-й социальной услуги (</w:t>
      </w:r>
      <w:r w:rsidR="001B39C6">
        <w:rPr>
          <w:rFonts w:ascii="Calibri" w:hAnsi="Calibri" w:cs="Calibri"/>
          <w:noProof/>
          <w:position w:val="-12"/>
          <w:lang w:eastAsia="ru-RU"/>
        </w:rPr>
        <w:drawing>
          <wp:inline distT="0" distB="0" distL="0" distR="0">
            <wp:extent cx="190500" cy="2476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srcRect/>
                    <a:stretch>
                      <a:fillRect/>
                    </a:stretch>
                  </pic:blipFill>
                  <pic:spPr bwMode="auto">
                    <a:xfrm>
                      <a:off x="0" y="0"/>
                      <a:ext cx="190500" cy="247650"/>
                    </a:xfrm>
                    <a:prstGeom prst="rect">
                      <a:avLst/>
                    </a:prstGeom>
                    <a:noFill/>
                    <a:ln w="9525">
                      <a:noFill/>
                      <a:miter lim="800000"/>
                      <a:headEnd/>
                      <a:tailEnd/>
                    </a:ln>
                  </pic:spPr>
                </pic:pic>
              </a:graphicData>
            </a:graphic>
          </wp:inline>
        </w:drawing>
      </w:r>
      <w:r>
        <w:rPr>
          <w:rFonts w:ascii="Calibri" w:hAnsi="Calibri" w:cs="Calibri"/>
        </w:rPr>
        <w:t>), определяется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6"/>
          <w:lang w:eastAsia="ru-RU"/>
        </w:rPr>
        <w:drawing>
          <wp:inline distT="0" distB="0" distL="0" distR="0">
            <wp:extent cx="1866900" cy="3048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srcRect/>
                    <a:stretch>
                      <a:fillRect/>
                    </a:stretch>
                  </pic:blipFill>
                  <pic:spPr bwMode="auto">
                    <a:xfrm>
                      <a:off x="0" y="0"/>
                      <a:ext cx="1866900" cy="304800"/>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2"/>
          <w:lang w:eastAsia="ru-RU"/>
        </w:rPr>
        <w:drawing>
          <wp:inline distT="0" distB="0" distL="0" distR="0">
            <wp:extent cx="276225" cy="2476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оплату труда персонала, предоставляющего i-ю социальную услугу,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304800" cy="2762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B91715">
        <w:rPr>
          <w:rFonts w:ascii="Calibri" w:hAnsi="Calibri" w:cs="Calibri"/>
        </w:rPr>
        <w:t xml:space="preserve"> - расходы на оплату труда управленческого персонала,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Величина косвенных общехозяйственных расходов (</w:t>
      </w:r>
      <w:r w:rsidR="001B39C6">
        <w:rPr>
          <w:rFonts w:ascii="Calibri" w:hAnsi="Calibri" w:cs="Calibri"/>
          <w:noProof/>
          <w:position w:val="-14"/>
          <w:lang w:eastAsia="ru-RU"/>
        </w:rPr>
        <w:drawing>
          <wp:inline distT="0" distB="0" distL="0" distR="0">
            <wp:extent cx="523875" cy="2762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srcRect/>
                    <a:stretch>
                      <a:fillRect/>
                    </a:stretch>
                  </pic:blipFill>
                  <pic:spPr bwMode="auto">
                    <a:xfrm>
                      <a:off x="0" y="0"/>
                      <a:ext cx="523875" cy="276225"/>
                    </a:xfrm>
                    <a:prstGeom prst="rect">
                      <a:avLst/>
                    </a:prstGeom>
                    <a:noFill/>
                    <a:ln w="9525">
                      <a:noFill/>
                      <a:miter lim="800000"/>
                      <a:headEnd/>
                      <a:tailEnd/>
                    </a:ln>
                  </pic:spPr>
                </pic:pic>
              </a:graphicData>
            </a:graphic>
          </wp:inline>
        </w:drawing>
      </w:r>
      <w:r>
        <w:rPr>
          <w:rFonts w:ascii="Calibri" w:hAnsi="Calibri" w:cs="Calibri"/>
        </w:rPr>
        <w:t>) рассчитывается по формуле:</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1B39C6">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14"/>
          <w:lang w:eastAsia="ru-RU"/>
        </w:rPr>
        <w:drawing>
          <wp:inline distT="0" distB="0" distL="0" distR="0">
            <wp:extent cx="1809750" cy="2762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srcRect/>
                    <a:stretch>
                      <a:fillRect/>
                    </a:stretch>
                  </pic:blipFill>
                  <pic:spPr bwMode="auto">
                    <a:xfrm>
                      <a:off x="0" y="0"/>
                      <a:ext cx="1809750" cy="276225"/>
                    </a:xfrm>
                    <a:prstGeom prst="rect">
                      <a:avLst/>
                    </a:prstGeom>
                    <a:noFill/>
                    <a:ln w="9525">
                      <a:noFill/>
                      <a:miter lim="800000"/>
                      <a:headEnd/>
                      <a:tailEnd/>
                    </a:ln>
                  </pic:spPr>
                </pic:pic>
              </a:graphicData>
            </a:graphic>
          </wp:inline>
        </w:drawing>
      </w:r>
      <w:r w:rsidR="00B91715">
        <w:rPr>
          <w:rFonts w:ascii="Calibri" w:hAnsi="Calibri" w:cs="Calibri"/>
        </w:rPr>
        <w:t>,</w:t>
      </w:r>
    </w:p>
    <w:p w:rsidR="00B91715" w:rsidRDefault="00B91715">
      <w:pPr>
        <w:widowControl w:val="0"/>
        <w:autoSpaceDE w:val="0"/>
        <w:autoSpaceDN w:val="0"/>
        <w:adjustRightInd w:val="0"/>
        <w:spacing w:after="0" w:line="240" w:lineRule="auto"/>
        <w:jc w:val="center"/>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352425" cy="2476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00B91715">
        <w:rPr>
          <w:rFonts w:ascii="Calibri" w:hAnsi="Calibri" w:cs="Calibri"/>
        </w:rPr>
        <w:t xml:space="preserve"> - общехозяйственные расходы;</w:t>
      </w:r>
    </w:p>
    <w:p w:rsidR="00B91715" w:rsidRDefault="001B39C6">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4"/>
          <w:lang w:eastAsia="ru-RU"/>
        </w:rPr>
        <w:drawing>
          <wp:inline distT="0" distB="0" distL="0" distR="0">
            <wp:extent cx="466725" cy="2476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00B91715">
        <w:rPr>
          <w:rFonts w:ascii="Calibri" w:hAnsi="Calibri" w:cs="Calibri"/>
        </w:rPr>
        <w:t xml:space="preserve"> - прямые общехозяйственные расходы, непосредственно связанные с предоставлением i-й социальной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Косвенные общехозяйственные расходы включают расходы на оплату работ (услуг), необходимых для обеспечения собственных нужд поставщика социальных услуг, в том числе:</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услуги связи;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коммунальные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транспортные услуги;</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материальные затраты;</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прочие работы (услуги), включающие в том числе работы (услуги) по содержанию имущества (санитарно-гигиеническое обслуживание - дератизация, дезинфекция, вывоз мусора, техническое обслуживание технических средств, текущий ремонт зданий и оборудования, ремонт автотранспорта и другие аналогичные расходы), по установке и монтажу локальных вычислительных сетей, систем охранной и пожарной сигнализации, видеонаблюдения, контроля доступа, а также услуги вневедомственной, пожарной охраны, услуги по страхованию, по изготовлению и (или) приобретению бланочной продукции и услуги в области информационных технологий.</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Расходы на оказание услуг связи, осуществляемые как для предоставления социальной услуги получателю социальных услуг, так и для обеспечения собственных нужд поставщиков социальных услуг, могут включать расходы на аренду технических средств, телефонную связь, сотовую связь, подключение и использование информационно-телекоммуникационной сети "Интернет", доступ к телефонной сети (установка телефонов), междугородные и международные соединения, местное телефонное соединение (абонентская и повременная оплата), радиосвязь и </w:t>
      </w:r>
      <w:r>
        <w:rPr>
          <w:rFonts w:ascii="Calibri" w:hAnsi="Calibri" w:cs="Calibri"/>
        </w:rPr>
        <w:lastRenderedPageBreak/>
        <w:t>другие средства связи, пользование радиоточкой, а также расходы, связанные с пересылкой почтовых отправлений, осуществлением почтовых переводов денежных средств, и другие аналогичные расходы.</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Транспортные расходы поставщиков социальных услуг могут включать расходы, связанные с оказанием транспортных услуг для обеспечения проезда получателя социальных услуг либо для обеспечения собственных нужд поставщика социальных услуг.</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Расходы поставщиков социальных услуг по оплате договоров на оказание коммунальных услуг для предоставления социальных услуг получателям социальных услуг или для обеспечения собственных нужд поставщика социальных услуг могут включать затраты на отопление и технологические нужды, потребление газа, электроэнергии, водоснабжение, канализацию, ассенизацию и др.</w:t>
      </w:r>
    </w:p>
    <w:p w:rsidR="00B91715" w:rsidRDefault="00B917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Материальные затраты при оказании социальных услуг могут включать расходы на приобретение продуктов питания, а также горючесмазочных материалов, канцелярских товаров и прочих материалов как для оказания социальных услуг, так и для обеспечения собственных нужд поставщика социальных услуг.</w:t>
      </w: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autoSpaceDE w:val="0"/>
        <w:autoSpaceDN w:val="0"/>
        <w:adjustRightInd w:val="0"/>
        <w:spacing w:after="0" w:line="240" w:lineRule="auto"/>
        <w:ind w:firstLine="540"/>
        <w:jc w:val="both"/>
        <w:rPr>
          <w:rFonts w:ascii="Calibri" w:hAnsi="Calibri" w:cs="Calibri"/>
        </w:rPr>
      </w:pPr>
    </w:p>
    <w:p w:rsidR="00B91715" w:rsidRDefault="00B917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728A" w:rsidRDefault="003F728A">
      <w:bookmarkStart w:id="4" w:name="_GoBack"/>
      <w:bookmarkEnd w:id="4"/>
    </w:p>
    <w:sectPr w:rsidR="003F728A" w:rsidSect="00563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1715"/>
    <w:rsid w:val="001B39C6"/>
    <w:rsid w:val="001D2E8E"/>
    <w:rsid w:val="003F728A"/>
    <w:rsid w:val="00563406"/>
    <w:rsid w:val="006A4280"/>
    <w:rsid w:val="00AB6218"/>
    <w:rsid w:val="00B91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E8E"/>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webSettings" Target="web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styles" Target="styles.xml"/><Relationship Id="rId6" Type="http://schemas.openxmlformats.org/officeDocument/2006/relationships/hyperlink" Target="consultantplus://offline/ref=28A7C2B954D12BC6086A3B7D2D77FA2E69C276649B7AE8F78E14D6DB4988F3A3247733CCFE58677F4FRED"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hyperlink" Target="consultantplus://offline/ref=28A7C2B954D12BC6086A3B7D2D77FA2E69C276649B7AE8F78E14D6DB4988F3A3247733CCFE5864784FRFD" TargetMode="Externa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hyperlink" Target="http://www.consultant.ru" TargetMode="Externa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dc:creator>
  <cp:lastModifiedBy>Владелец</cp:lastModifiedBy>
  <cp:revision>2</cp:revision>
  <dcterms:created xsi:type="dcterms:W3CDTF">2016-07-06T10:14:00Z</dcterms:created>
  <dcterms:modified xsi:type="dcterms:W3CDTF">2016-07-06T10:14:00Z</dcterms:modified>
</cp:coreProperties>
</file>